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600"/>
        <w:jc w:val="center"/>
      </w:pPr>
      <w:r>
        <w:rPr>
          <w:b/>
          <w:bCs/>
          <w:sz w:val="36"/>
          <w:szCs w:val="36"/>
        </w:rPr>
        <w:t xml:space="preserve">PRE-REGISTRATION</w:t>
      </w:r>
    </w:p>
    <w:p>
      <w:pPr>
        <w:spacing w:after="120"/>
        <w:jc w:val="center"/>
      </w:pPr>
      <w:r>
        <w:rPr>
          <w:b/>
          <w:bCs/>
          <w:sz w:val="28"/>
          <w:szCs w:val="28"/>
        </w:rPr>
        <w:t xml:space="preserve">The CAMS/JUNO Kinematic Invariance and Calibration Program</w:t>
      </w:r>
    </w:p>
    <w:p>
      <w:pPr>
        <w:spacing w:after="300"/>
        <w:jc w:val="center"/>
      </w:pPr>
      <w:r>
        <w:rPr>
          <w:i/>
          <w:iCs/>
          <w:sz w:val="24"/>
          <w:szCs w:val="24"/>
        </w:rPr>
        <w:t xml:space="preserve">Shock-Magnitude Homogeneity, Duration Heterogeneity, Corpus Contrast, and Coordinate Calibration (Tiers 0–4)</w:t>
      </w:r>
    </w:p>
    <w:p>
      <w:pPr>
        <w:spacing w:after="160" w:line="300"/>
        <w:jc w:val="center"/>
      </w:pPr>
      <w:r>
        <w:rPr>
          <w:sz w:val="22"/>
          <w:szCs w:val="22"/>
        </w:rPr>
        <w:t xml:space="preserve">Registrant and framework owner: Kari Freyr McKern</w:t>
      </w:r>
    </w:p>
    <w:p>
      <w:pPr>
        <w:spacing w:after="160" w:line="300"/>
        <w:jc w:val="center"/>
      </w:pPr>
      <w:r>
        <w:rPr>
          <w:sz w:val="22"/>
          <w:szCs w:val="22"/>
        </w:rPr>
        <w:t xml:space="preserve">Analyst of record for registered analyses: Claude (Anthropic), under the CAMS Blind-Analysis Protocol lineage (v1.0)</w:t>
      </w:r>
    </w:p>
    <w:p>
      <w:pPr>
        <w:spacing w:after="160" w:line="300"/>
        <w:jc w:val="center"/>
      </w:pPr>
      <w:r>
        <w:rPr>
          <w:sz w:val="22"/>
          <w:szCs w:val="22"/>
        </w:rPr>
        <w:t xml:space="preserve">Framework versions: JUNO v1.0-Final (metrics); CAMS v15 (primitives, specified herein)</w:t>
      </w:r>
    </w:p>
    <w:p>
      <w:pPr>
        <w:spacing w:after="160" w:line="300"/>
        <w:jc w:val="center"/>
      </w:pPr>
      <w:r>
        <w:rPr>
          <w:sz w:val="22"/>
          <w:szCs w:val="22"/>
        </w:rPr>
        <w:t xml:space="preserve">Registration date: 6 July 2026</w:t>
      </w:r>
    </w:p>
    <w:p>
      <w:pPr>
        <w:spacing w:after="160" w:line="300"/>
        <w:jc w:val="center"/>
      </w:pPr>
      <w:r>
        <w:rPr>
          <w:b/>
          <w:bCs/>
          <w:sz w:val="22"/>
          <w:szCs w:val="22"/>
        </w:rPr>
        <w:t xml:space="preserve">Status: LOCKED. All hypotheses, procedures, decision rules, and exclusion rules in this document are fixed prior to the generation or scoring of any Tier 1, Tier 2, or Tier 4 data. Deviations are governed by Section 10.</w:t>
      </w:r>
    </w:p>
    <w:p>
      <w:r>
        <w:br w:type="page"/>
      </w:r>
    </w:p>
    <w:p>
      <w:pPr>
        <w:pStyle w:val="Heading1"/>
        <w:spacing w:after="160" w:before="320"/>
      </w:pPr>
      <w:r>
        <w:t xml:space="preserve">1. Background and Rationale</w:t>
      </w:r>
    </w:p>
    <w:p>
      <w:pPr>
        <w:spacing w:after="160" w:line="300"/>
        <w:jc w:val="both"/>
      </w:pPr>
      <w:r>
        <w:rPr>
          <w:sz w:val="22"/>
          <w:szCs w:val="22"/>
        </w:rPr>
        <w:t xml:space="preserve">This registration follows a sequence of completed, documented analyses on the CAMS/JUNO framework: (i) a three-set blind identification experiment (24 societies; 13/24 exact identifications against an eight-candidate null expectation of 3/24; 24/24 functional-family placement; all errors within-family), including one pre-registered morphospace prediction that was tested and refuted; (ii) an α-sweep of the Abstraction coefficient in the node viability operator, which found no discrimination optimum at the conventional half-weight and near-total invariance of coarse trajectory clustering across the sweep; and (iii) an audit of the v14 crisis-size construction, which found the compound variable crisis_size = base × 1.5^duration to be mechanically unstable under chronic-crisis regimes, and which, upon decomposition, found (a) episode-level shock magnitudes statistically homogeneous in tail across all eight monitored panels and (b) episode durations statistically heterogeneous.</w:t>
      </w:r>
    </w:p>
    <w:p>
      <w:pPr>
        <w:spacing w:after="160" w:line="300"/>
        <w:jc w:val="both"/>
      </w:pPr>
      <w:r>
        <w:rPr>
          <w:sz w:val="22"/>
          <w:szCs w:val="22"/>
        </w:rPr>
        <w:t xml:space="preserve">The exploratory decomposition result reduces to a primitive one linear step from raw scores: the annual drop in mean node viability, |ΔV̄|. The intensity construction was verified to be a linear readout (crisis_size_base ≈ 100·|ΔV̄⁻| + ≈55·|ΔB⁻|; R² ≥ 0.992 in every panel), and linear transforms preserve tail exponents; the shared formula therefore transmits, rather than manufactures, the observed tail. The candidate invariant is accordingly stated at the ΔV̄ level, where no construction stands between the claim and the raw scores.</w:t>
      </w:r>
    </w:p>
    <w:p>
      <w:pPr>
        <w:spacing w:after="160" w:line="300"/>
        <w:jc w:val="both"/>
      </w:pPr>
      <w:r>
        <w:rPr>
          <w:sz w:val="22"/>
          <w:szCs w:val="22"/>
        </w:rPr>
        <w:t xml:space="preserve">Because all findings to date derive from AI-scored panels sharing overlapping historiographic corpora, no result yet demonstrates pipeline-independent or corpus-independent measurement. This program is designed to test both, in that order, with explicit falsification conditions at each tier. Exploratory results reported prior to this registration — including the joint exponent estimates τ ≈ 1.32 (episode intensity, xmin = 1.0) and τ ≈ 1.98 (raw |ΔV̄| drops, xmin = 0.05) — are treated as hypothesis-generating only. The instability of the fitted exponent across xmin choices is itself a registered observation: the registrable property is homogeneity, not any point value of the exponent.</w:t>
      </w:r>
    </w:p>
    <w:p>
      <w:pPr>
        <w:pStyle w:val="Heading1"/>
        <w:spacing w:after="160" w:before="320"/>
      </w:pPr>
      <w:r>
        <w:t xml:space="preserve">2. Definitions and v15 Primitives</w:t>
      </w:r>
    </w:p>
    <w:p>
      <w:pPr>
        <w:spacing w:after="160" w:line="300"/>
        <w:jc w:val="both"/>
      </w:pPr>
      <w:r>
        <w:rPr>
          <w:b/>
          <w:bCs/>
          <w:sz w:val="22"/>
          <w:szCs w:val="22"/>
        </w:rPr>
        <w:t xml:space="preserve">2.1 Node viability. </w:t>
      </w:r>
      <w:r>
        <w:rPr>
          <w:sz w:val="22"/>
          <w:szCs w:val="22"/>
        </w:rPr>
        <w:t xml:space="preserve">V_i = C + K − S + w_A·A per node-year, with w_A documented as an uncalibrated design convention (currently 0.5). Society-year mean viability is V̄ (mean over the eight nodes). All metrics are recomputed from raw C, K, S, A scores; legacy pre-computed columns are never used.</w:t>
      </w:r>
    </w:p>
    <w:p>
      <w:pPr>
        <w:spacing w:after="160" w:line="300"/>
        <w:jc w:val="both"/>
      </w:pPr>
      <w:r>
        <w:rPr>
          <w:b/>
          <w:bCs/>
          <w:sz w:val="22"/>
          <w:szCs w:val="22"/>
        </w:rPr>
        <w:t xml:space="preserve">2.2 Shock magnitude (primitive). </w:t>
      </w:r>
      <w:r>
        <w:rPr>
          <w:sz w:val="22"/>
          <w:szCs w:val="22"/>
        </w:rPr>
        <w:t xml:space="preserve">M_t = max(−ΔV̄_t, 0), the year-over-year drop in mean viability. Shocks are the events {M_t : M_t &gt; m_0}, with the reporting floor m_0 fixed at 0.05 for descriptive statistics; tail analyses use KS-chosen xmin (Section 6).</w:t>
      </w:r>
    </w:p>
    <w:p>
      <w:pPr>
        <w:spacing w:after="160" w:line="300"/>
        <w:jc w:val="both"/>
      </w:pPr>
      <w:r>
        <w:rPr>
          <w:b/>
          <w:bCs/>
          <w:sz w:val="22"/>
          <w:szCs w:val="22"/>
        </w:rPr>
        <w:t xml:space="preserve">2.3 Crisis episode and duration (primitive). </w:t>
      </w:r>
      <w:r>
        <w:rPr>
          <w:sz w:val="22"/>
          <w:szCs w:val="22"/>
        </w:rPr>
        <w:t xml:space="preserve">An episode is a maximal run of consecutive crisis-flagged years under the v14 flag definition (carried into v15 unchanged). Episode duration D is the length of that run in years. Episode peak intensity I is the maximum M_t within the episode.</w:t>
      </w:r>
    </w:p>
    <w:p>
      <w:pPr>
        <w:spacing w:after="160" w:line="300"/>
        <w:jc w:val="both"/>
      </w:pPr>
      <w:r>
        <w:rPr>
          <w:b/>
          <w:bCs/>
          <w:sz w:val="22"/>
          <w:szCs w:val="22"/>
        </w:rPr>
        <w:t xml:space="preserve">2.4 Retired constructions. </w:t>
      </w:r>
      <w:r>
        <w:rPr>
          <w:sz w:val="22"/>
          <w:szCs w:val="22"/>
        </w:rPr>
        <w:t xml:space="preserve">The v14 compound variable crisis_size = base × 1.5^D is retired as of this registration and enters the v15 changelog as a documented construction failure (unbounded under chronic-crisis regimes; divergence demonstrated at D = 46). No registered analysis uses it. Any future compound burden measure must be bounded, secondary, and explicitly diagnostic rather than foundational; intensity and duration are reported separately as the foundational quantities.</w:t>
      </w:r>
    </w:p>
    <w:p>
      <w:pPr>
        <w:spacing w:after="160" w:line="300"/>
        <w:jc w:val="both"/>
      </w:pPr>
      <w:r>
        <w:rPr>
          <w:b/>
          <w:bCs/>
          <w:sz w:val="22"/>
          <w:szCs w:val="22"/>
        </w:rPr>
        <w:t xml:space="preserve">2.5 Notation. </w:t>
      </w:r>
      <w:r>
        <w:rPr>
          <w:sz w:val="22"/>
          <w:szCs w:val="22"/>
        </w:rPr>
        <w:t xml:space="preserve">w_A denotes the Abstraction weight; τ denotes tail exponents; α is reserved for statistical significance levels in this document.</w:t>
      </w:r>
    </w:p>
    <w:p>
      <w:pPr>
        <w:spacing w:after="160" w:line="300"/>
        <w:jc w:val="both"/>
      </w:pPr>
      <w:r>
        <w:rPr>
          <w:b/>
          <w:bCs/>
          <w:sz w:val="22"/>
          <w:szCs w:val="22"/>
        </w:rPr>
        <w:t xml:space="preserve">2.6 Pipeline independence. </w:t>
      </w:r>
      <w:r>
        <w:rPr>
          <w:sz w:val="22"/>
          <w:szCs w:val="22"/>
        </w:rPr>
        <w:t xml:space="preserve">A scoring pipeline is independent of a prior pipeline if it uses a different base model family and a scoring prompt not derived from the prior pipeline’s outputs. Corpus independence additionally requires that scores are produced without a language model, from archival or human-coded indicators (Tier 4).</w:t>
      </w:r>
    </w:p>
    <w:p>
      <w:pPr>
        <w:pStyle w:val="Heading1"/>
        <w:spacing w:after="160" w:before="320"/>
      </w:pPr>
      <w:r>
        <w:t xml:space="preserve">3. Registered Hypotheses</w:t>
      </w:r>
    </w:p>
    <w:p>
      <w:pPr>
        <w:spacing w:after="160" w:line="300"/>
        <w:jc w:val="both"/>
      </w:pPr>
      <w:r>
        <w:rPr>
          <w:sz w:val="22"/>
          <w:szCs w:val="22"/>
        </w:rPr>
        <w:t xml:space="preserve">Hypotheses are stated with their falsification conditions. H1 and H2 form a joint two-sided prediction: one universality claim and one non-universality claim, registered together so that neither can be satisfied by a globally degenerate outcome (e.g., a test with no power satisfies H1 trivially but then cannot satisfy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4900"/>
        <w:gridCol w:w="3160"/>
      </w:tblGrid>
      <w:tr>
        <w:tc>
          <w:tcPr>
            <w:tcW w:type="dxa" w:w="1300"/>
            <w:shd w:fill="D9E2F3" w:val="clear"/>
            <w:tcMar>
              <w:top w:type="dxa" w:w="60"/>
              <w:left w:type="dxa" w:w="100"/>
              <w:bottom w:type="dxa" w:w="60"/>
              <w:right w:type="dxa" w:w="100"/>
            </w:tcMar>
          </w:tcPr>
          <w:p>
            <w:pPr>
              <w:spacing w:after="0"/>
              <w:jc w:val="left"/>
            </w:pPr>
            <w:r>
              <w:rPr>
                <w:b/>
                <w:bCs/>
                <w:sz w:val="20"/>
                <w:szCs w:val="20"/>
              </w:rPr>
              <w:t xml:space="preserve">ID</w:t>
            </w:r>
          </w:p>
        </w:tc>
        <w:tc>
          <w:tcPr>
            <w:tcW w:type="dxa" w:w="4900"/>
            <w:shd w:fill="D9E2F3" w:val="clear"/>
            <w:tcMar>
              <w:top w:type="dxa" w:w="60"/>
              <w:left w:type="dxa" w:w="100"/>
              <w:bottom w:type="dxa" w:w="60"/>
              <w:right w:type="dxa" w:w="100"/>
            </w:tcMar>
          </w:tcPr>
          <w:p>
            <w:pPr>
              <w:spacing w:after="0"/>
              <w:jc w:val="left"/>
            </w:pPr>
            <w:r>
              <w:rPr>
                <w:b/>
                <w:bCs/>
                <w:sz w:val="20"/>
                <w:szCs w:val="20"/>
              </w:rPr>
              <w:t xml:space="preserve">Hypothesis</w:t>
            </w:r>
          </w:p>
        </w:tc>
        <w:tc>
          <w:tcPr>
            <w:tcW w:type="dxa" w:w="3160"/>
            <w:shd w:fill="D9E2F3" w:val="clear"/>
            <w:tcMar>
              <w:top w:type="dxa" w:w="60"/>
              <w:left w:type="dxa" w:w="100"/>
              <w:bottom w:type="dxa" w:w="60"/>
              <w:right w:type="dxa" w:w="100"/>
            </w:tcMar>
          </w:tcPr>
          <w:p>
            <w:pPr>
              <w:spacing w:after="0"/>
              <w:jc w:val="left"/>
            </w:pPr>
            <w:r>
              <w:rPr>
                <w:b/>
                <w:bCs/>
                <w:sz w:val="20"/>
                <w:szCs w:val="20"/>
              </w:rPr>
              <w:t xml:space="preserve">Falsified if</w:t>
            </w:r>
          </w:p>
        </w:tc>
      </w:tr>
      <w:tr>
        <w:tc>
          <w:tcPr>
            <w:tcW w:type="dxa" w:w="1300"/>
            <w:shd w:fill="F2F6FC" w:val="clear"/>
            <w:tcMar>
              <w:top w:type="dxa" w:w="60"/>
              <w:left w:type="dxa" w:w="100"/>
              <w:bottom w:type="dxa" w:w="60"/>
              <w:right w:type="dxa" w:w="100"/>
            </w:tcMar>
          </w:tcPr>
          <w:p>
            <w:pPr>
              <w:spacing w:after="0"/>
              <w:jc w:val="left"/>
            </w:pPr>
            <w:r>
              <w:rPr>
                <w:b w:val="false"/>
                <w:bCs w:val="false"/>
                <w:sz w:val="20"/>
                <w:szCs w:val="20"/>
              </w:rPr>
              <w:t xml:space="preserve">H1</w:t>
            </w:r>
          </w:p>
        </w:tc>
        <w:tc>
          <w:tcPr>
            <w:tcW w:type="dxa" w:w="4900"/>
            <w:shd w:fill="F2F6FC" w:val="clear"/>
            <w:tcMar>
              <w:top w:type="dxa" w:w="60"/>
              <w:left w:type="dxa" w:w="100"/>
              <w:bottom w:type="dxa" w:w="60"/>
              <w:right w:type="dxa" w:w="100"/>
            </w:tcMar>
          </w:tcPr>
          <w:p>
            <w:pPr>
              <w:spacing w:after="0"/>
              <w:jc w:val="left"/>
            </w:pPr>
            <w:r>
              <w:rPr>
                <w:b w:val="false"/>
                <w:bCs w:val="false"/>
                <w:sz w:val="20"/>
                <w:szCs w:val="20"/>
              </w:rPr>
              <w:t xml:space="preserve">Shock-magnitude homogeneity: across ≥6 fresh societies scored by an independent pipeline, the tail of the |ΔV̄| shock-magnitude distribution is statistically common (heterogeneity LR test fails to reject; Section 6).</w:t>
            </w:r>
          </w:p>
        </w:tc>
        <w:tc>
          <w:tcPr>
            <w:tcW w:type="dxa" w:w="3160"/>
            <w:shd w:fill="F2F6FC" w:val="clear"/>
            <w:tcMar>
              <w:top w:type="dxa" w:w="60"/>
              <w:left w:type="dxa" w:w="100"/>
              <w:bottom w:type="dxa" w:w="60"/>
              <w:right w:type="dxa" w:w="100"/>
            </w:tcMar>
          </w:tcPr>
          <w:p>
            <w:pPr>
              <w:spacing w:after="0"/>
              <w:jc w:val="left"/>
            </w:pPr>
            <w:r>
              <w:rPr>
                <w:b w:val="false"/>
                <w:bCs w:val="false"/>
                <w:sz w:val="20"/>
                <w:szCs w:val="20"/>
              </w:rPr>
              <w:t xml:space="preserve">LR test rejects at α = 0.05, with simulated power ≥0.8 to detect Δτ = 0.3 (Section 6.5).</w:t>
            </w:r>
          </w:p>
        </w:tc>
      </w:tr>
      <w:tr>
        <w:tc>
          <w:tcPr>
            <w:tcW w:type="dxa" w:w="1300"/>
            <w:tcMar>
              <w:top w:type="dxa" w:w="60"/>
              <w:left w:type="dxa" w:w="100"/>
              <w:bottom w:type="dxa" w:w="60"/>
              <w:right w:type="dxa" w:w="100"/>
            </w:tcMar>
          </w:tcPr>
          <w:p>
            <w:pPr>
              <w:spacing w:after="0"/>
              <w:jc w:val="left"/>
            </w:pPr>
            <w:r>
              <w:rPr>
                <w:b w:val="false"/>
                <w:bCs w:val="false"/>
                <w:sz w:val="20"/>
                <w:szCs w:val="20"/>
              </w:rPr>
              <w:t xml:space="preserve">H2</w:t>
            </w:r>
          </w:p>
        </w:tc>
        <w:tc>
          <w:tcPr>
            <w:tcW w:type="dxa" w:w="4900"/>
            <w:tcMar>
              <w:top w:type="dxa" w:w="60"/>
              <w:left w:type="dxa" w:w="100"/>
              <w:bottom w:type="dxa" w:w="60"/>
              <w:right w:type="dxa" w:w="100"/>
            </w:tcMar>
          </w:tcPr>
          <w:p>
            <w:pPr>
              <w:spacing w:after="0"/>
              <w:jc w:val="left"/>
            </w:pPr>
            <w:r>
              <w:rPr>
                <w:b w:val="false"/>
                <w:bCs w:val="false"/>
                <w:sz w:val="20"/>
                <w:szCs w:val="20"/>
              </w:rPr>
              <w:t xml:space="preserve">Duration heterogeneity: across the same societies, episode-duration distributions differ (heterogeneity test rejects a common duration law).</w:t>
            </w:r>
          </w:p>
        </w:tc>
        <w:tc>
          <w:tcPr>
            <w:tcW w:type="dxa" w:w="3160"/>
            <w:tcMar>
              <w:top w:type="dxa" w:w="60"/>
              <w:left w:type="dxa" w:w="100"/>
              <w:bottom w:type="dxa" w:w="60"/>
              <w:right w:type="dxa" w:w="100"/>
            </w:tcMar>
          </w:tcPr>
          <w:p>
            <w:pPr>
              <w:spacing w:after="0"/>
              <w:jc w:val="left"/>
            </w:pPr>
            <w:r>
              <w:rPr>
                <w:b w:val="false"/>
                <w:bCs w:val="false"/>
                <w:sz w:val="20"/>
                <w:szCs w:val="20"/>
              </w:rPr>
              <w:t xml:space="preserve">Test fails to reject homogeneity at α = 0.05 with the same power standard.</w:t>
            </w:r>
          </w:p>
        </w:tc>
      </w:tr>
      <w:tr>
        <w:tc>
          <w:tcPr>
            <w:tcW w:type="dxa" w:w="1300"/>
            <w:shd w:fill="F2F6FC" w:val="clear"/>
            <w:tcMar>
              <w:top w:type="dxa" w:w="60"/>
              <w:left w:type="dxa" w:w="100"/>
              <w:bottom w:type="dxa" w:w="60"/>
              <w:right w:type="dxa" w:w="100"/>
            </w:tcMar>
          </w:tcPr>
          <w:p>
            <w:pPr>
              <w:spacing w:after="0"/>
              <w:jc w:val="left"/>
            </w:pPr>
            <w:r>
              <w:rPr>
                <w:b w:val="false"/>
                <w:bCs w:val="false"/>
                <w:sz w:val="20"/>
                <w:szCs w:val="20"/>
              </w:rPr>
              <w:t xml:space="preserve">H3a</w:t>
            </w:r>
          </w:p>
        </w:tc>
        <w:tc>
          <w:tcPr>
            <w:tcW w:type="dxa" w:w="4900"/>
            <w:shd w:fill="F2F6FC" w:val="clear"/>
            <w:tcMar>
              <w:top w:type="dxa" w:w="60"/>
              <w:left w:type="dxa" w:w="100"/>
              <w:bottom w:type="dxa" w:w="60"/>
              <w:right w:type="dxa" w:w="100"/>
            </w:tcMar>
          </w:tcPr>
          <w:p>
            <w:pPr>
              <w:spacing w:after="0"/>
              <w:jc w:val="left"/>
            </w:pPr>
            <w:r>
              <w:rPr>
                <w:b w:val="false"/>
                <w:bCs w:val="false"/>
                <w:sz w:val="20"/>
                <w:szCs w:val="20"/>
              </w:rPr>
              <w:t xml:space="preserve">Corpus contrast — morphology alignment: for three contested societies each scored from two historiographic corpora, functional-family placement is identical, major transition years concord within ±3 years, and node-activation signatures correlate at Spearman ρ ≥ 0.7.</w:t>
            </w:r>
          </w:p>
        </w:tc>
        <w:tc>
          <w:tcPr>
            <w:tcW w:type="dxa" w:w="3160"/>
            <w:shd w:fill="F2F6FC" w:val="clear"/>
            <w:tcMar>
              <w:top w:type="dxa" w:w="60"/>
              <w:left w:type="dxa" w:w="100"/>
              <w:bottom w:type="dxa" w:w="60"/>
              <w:right w:type="dxa" w:w="100"/>
            </w:tcMar>
          </w:tcPr>
          <w:p>
            <w:pPr>
              <w:spacing w:after="0"/>
              <w:jc w:val="left"/>
            </w:pPr>
            <w:r>
              <w:rPr>
                <w:b w:val="false"/>
                <w:bCs w:val="false"/>
                <w:sz w:val="20"/>
                <w:szCs w:val="20"/>
              </w:rPr>
              <w:t xml:space="preserve">Any of the three concordance criteria fails for two or more of the three societies.</w:t>
            </w:r>
          </w:p>
        </w:tc>
      </w:tr>
      <w:tr>
        <w:tc>
          <w:tcPr>
            <w:tcW w:type="dxa" w:w="1300"/>
            <w:tcMar>
              <w:top w:type="dxa" w:w="60"/>
              <w:left w:type="dxa" w:w="100"/>
              <w:bottom w:type="dxa" w:w="60"/>
              <w:right w:type="dxa" w:w="100"/>
            </w:tcMar>
          </w:tcPr>
          <w:p>
            <w:pPr>
              <w:spacing w:after="0"/>
              <w:jc w:val="left"/>
            </w:pPr>
            <w:r>
              <w:rPr>
                <w:b w:val="false"/>
                <w:bCs w:val="false"/>
                <w:sz w:val="20"/>
                <w:szCs w:val="20"/>
              </w:rPr>
              <w:t xml:space="preserve">H3b</w:t>
            </w:r>
          </w:p>
        </w:tc>
        <w:tc>
          <w:tcPr>
            <w:tcW w:type="dxa" w:w="4900"/>
            <w:tcMar>
              <w:top w:type="dxa" w:w="60"/>
              <w:left w:type="dxa" w:w="100"/>
              <w:bottom w:type="dxa" w:w="60"/>
              <w:right w:type="dxa" w:w="100"/>
            </w:tcMar>
          </w:tcPr>
          <w:p>
            <w:pPr>
              <w:spacing w:after="0"/>
              <w:jc w:val="left"/>
            </w:pPr>
            <w:r>
              <w:rPr>
                <w:b w:val="false"/>
                <w:bCs w:val="false"/>
                <w:sz w:val="20"/>
                <w:szCs w:val="20"/>
              </w:rPr>
              <w:t xml:space="preserve">Corpus contrast — magnitude divergence: paired V̄ and S̄ levels differ systematically by corpus, in the direction of lower V̄ / higher S̄ when a society is scored from an external corpus in which it is adversary-coded.</w:t>
            </w:r>
          </w:p>
        </w:tc>
        <w:tc>
          <w:tcPr>
            <w:tcW w:type="dxa" w:w="3160"/>
            <w:tcMar>
              <w:top w:type="dxa" w:w="60"/>
              <w:left w:type="dxa" w:w="100"/>
              <w:bottom w:type="dxa" w:w="60"/>
              <w:right w:type="dxa" w:w="100"/>
            </w:tcMar>
          </w:tcPr>
          <w:p>
            <w:pPr>
              <w:spacing w:after="0"/>
              <w:jc w:val="left"/>
            </w:pPr>
            <w:r>
              <w:rPr>
                <w:b w:val="false"/>
                <w:bCs w:val="false"/>
                <w:sz w:val="20"/>
                <w:szCs w:val="20"/>
              </w:rPr>
              <w:t xml:space="preserve">Paired offsets are indistinguishable from zero, or directionally opposite, across the panel of three.</w:t>
            </w:r>
          </w:p>
        </w:tc>
      </w:tr>
      <w:tr>
        <w:tc>
          <w:tcPr>
            <w:tcW w:type="dxa" w:w="1300"/>
            <w:shd w:fill="F2F6FC" w:val="clear"/>
            <w:tcMar>
              <w:top w:type="dxa" w:w="60"/>
              <w:left w:type="dxa" w:w="100"/>
              <w:bottom w:type="dxa" w:w="60"/>
              <w:right w:type="dxa" w:w="100"/>
            </w:tcMar>
          </w:tcPr>
          <w:p>
            <w:pPr>
              <w:spacing w:after="0"/>
              <w:jc w:val="left"/>
            </w:pPr>
            <w:r>
              <w:rPr>
                <w:b w:val="false"/>
                <w:bCs w:val="false"/>
                <w:sz w:val="20"/>
                <w:szCs w:val="20"/>
              </w:rPr>
              <w:t xml:space="preserve">H4</w:t>
            </w:r>
          </w:p>
        </w:tc>
        <w:tc>
          <w:tcPr>
            <w:tcW w:type="dxa" w:w="4900"/>
            <w:shd w:fill="F2F6FC" w:val="clear"/>
            <w:tcMar>
              <w:top w:type="dxa" w:w="60"/>
              <w:left w:type="dxa" w:w="100"/>
              <w:bottom w:type="dxa" w:w="60"/>
              <w:right w:type="dxa" w:w="100"/>
            </w:tcMar>
          </w:tcPr>
          <w:p>
            <w:pPr>
              <w:spacing w:after="0"/>
              <w:jc w:val="left"/>
            </w:pPr>
            <w:r>
              <w:rPr>
                <w:b w:val="false"/>
                <w:bCs w:val="false"/>
                <w:sz w:val="20"/>
                <w:szCs w:val="20"/>
              </w:rPr>
              <w:t xml:space="preserve">Incremental validity: CAMS eight-node panels support blind family-level identification above a GDP-per-capita-plus-regime-codes baseline under the identical protocol.</w:t>
            </w:r>
          </w:p>
        </w:tc>
        <w:tc>
          <w:tcPr>
            <w:tcW w:type="dxa" w:w="3160"/>
            <w:shd w:fill="F2F6FC" w:val="clear"/>
            <w:tcMar>
              <w:top w:type="dxa" w:w="60"/>
              <w:left w:type="dxa" w:w="100"/>
              <w:bottom w:type="dxa" w:w="60"/>
              <w:right w:type="dxa" w:w="100"/>
            </w:tcMar>
          </w:tcPr>
          <w:p>
            <w:pPr>
              <w:spacing w:after="0"/>
              <w:jc w:val="left"/>
            </w:pPr>
            <w:r>
              <w:rPr>
                <w:b w:val="false"/>
                <w:bCs w:val="false"/>
                <w:sz w:val="20"/>
                <w:szCs w:val="20"/>
              </w:rPr>
              <w:t xml:space="preserve">CAMS accuracy does not exceed the baseline at p &lt; 0.05 (permutation test, Section 6.6).</w:t>
            </w:r>
          </w:p>
        </w:tc>
      </w:tr>
      <w:tr>
        <w:tc>
          <w:tcPr>
            <w:tcW w:type="dxa" w:w="1300"/>
            <w:tcMar>
              <w:top w:type="dxa" w:w="60"/>
              <w:left w:type="dxa" w:w="100"/>
              <w:bottom w:type="dxa" w:w="60"/>
              <w:right w:type="dxa" w:w="100"/>
            </w:tcMar>
          </w:tcPr>
          <w:p>
            <w:pPr>
              <w:spacing w:after="0"/>
              <w:jc w:val="left"/>
            </w:pPr>
            <w:r>
              <w:rPr>
                <w:b w:val="false"/>
                <w:bCs w:val="false"/>
                <w:sz w:val="20"/>
                <w:szCs w:val="20"/>
              </w:rPr>
              <w:t xml:space="preserve">H5</w:t>
            </w:r>
          </w:p>
        </w:tc>
        <w:tc>
          <w:tcPr>
            <w:tcW w:type="dxa" w:w="4900"/>
            <w:tcMar>
              <w:top w:type="dxa" w:w="60"/>
              <w:left w:type="dxa" w:w="100"/>
              <w:bottom w:type="dxa" w:w="60"/>
              <w:right w:type="dxa" w:w="100"/>
            </w:tcMar>
          </w:tcPr>
          <w:p>
            <w:pPr>
              <w:spacing w:after="0"/>
              <w:jc w:val="left"/>
            </w:pPr>
            <w:r>
              <w:rPr>
                <w:b w:val="false"/>
                <w:bCs w:val="false"/>
                <w:sz w:val="20"/>
                <w:szCs w:val="20"/>
              </w:rPr>
              <w:t xml:space="preserve">Forward registry (scored 1 July 2031): the open basin exits identified in prior analysis (the Japan-panel and South-Africa-panel morphologies) resolve as specified in the registry appendix, and early-warning signatures precede endogenous transitions but not exogenous ones in new data.</w:t>
            </w:r>
          </w:p>
        </w:tc>
        <w:tc>
          <w:tcPr>
            <w:tcW w:type="dxa" w:w="3160"/>
            <w:tcMar>
              <w:top w:type="dxa" w:w="60"/>
              <w:left w:type="dxa" w:w="100"/>
              <w:bottom w:type="dxa" w:w="60"/>
              <w:right w:type="dxa" w:w="100"/>
            </w:tcMar>
          </w:tcPr>
          <w:p>
            <w:pPr>
              <w:spacing w:after="0"/>
              <w:jc w:val="left"/>
            </w:pPr>
            <w:r>
              <w:rPr>
                <w:b w:val="false"/>
                <w:bCs w:val="false"/>
                <w:sz w:val="20"/>
                <w:szCs w:val="20"/>
              </w:rPr>
              <w:t xml:space="preserve">Registry items scored against outcomes in 2031; each item carries its own stated criterion.</w:t>
            </w:r>
          </w:p>
        </w:tc>
      </w:tr>
    </w:tbl>
    <w:p>
      <w:pPr>
        <w:spacing w:after="160" w:line="300"/>
        <w:jc w:val="both"/>
      </w:pPr>
      <w:r>
        <w:rPr>
          <w:sz w:val="22"/>
          <w:szCs w:val="22"/>
        </w:rPr>
        <w:t xml:space="preserve"/>
      </w:r>
    </w:p>
    <w:p>
      <w:pPr>
        <w:pStyle w:val="Heading1"/>
        <w:spacing w:after="160" w:before="320"/>
      </w:pPr>
      <w:r>
        <w:t xml:space="preserve">4. Design: Tier Structure</w:t>
      </w:r>
    </w:p>
    <w:p>
      <w:pPr>
        <w:pStyle w:val="Heading2"/>
        <w:spacing w:after="120" w:before="260"/>
      </w:pPr>
      <w:r>
        <w:t xml:space="preserve">Tier 0 — v15 Specification (no new data; effective immediately)</w:t>
      </w:r>
    </w:p>
    <w:p>
      <w:pPr>
        <w:spacing w:after="160" w:line="300"/>
        <w:jc w:val="both"/>
      </w:pPr>
      <w:r>
        <w:rPr>
          <w:sz w:val="22"/>
          <w:szCs w:val="22"/>
        </w:rPr>
        <w:t xml:space="preserve">The v15 primitive set is as defined in Section 2. The compound crisis-size variable is retired with its failure documented. Notational reservations (Section 2.5) apply to all future framework documents. The internal inconsistency in the role of Abstraction — additive in viability (V = C + K − S + w_A·A) but multiplicative in cognitive activation (s = A·C/100 · max(K−S, 0.1)) — is logged as an open theoretical item: either a stated theory justifying the dual role or a unification must be produced before any claim that the operators are theoretically grounded. Tier 0 requires no statistical test and cannot fail; it exists to prevent contamination of all subsequent tiers by known-bad constructions.</w:t>
      </w:r>
    </w:p>
    <w:p>
      <w:pPr>
        <w:pStyle w:val="Heading2"/>
        <w:spacing w:after="120" w:before="260"/>
      </w:pPr>
      <w:r>
        <w:t xml:space="preserve">Tier 1 — Kinematic Test (flagship; H1 and H2)</w:t>
      </w:r>
    </w:p>
    <w:p>
      <w:pPr>
        <w:spacing w:after="160" w:line="300"/>
        <w:jc w:val="both"/>
      </w:pPr>
      <w:r>
        <w:rPr>
          <w:b/>
          <w:bCs/>
          <w:sz w:val="22"/>
          <w:szCs w:val="22"/>
        </w:rPr>
        <w:t xml:space="preserve">Sample. </w:t>
      </w:r>
      <w:r>
        <w:rPr>
          <w:sz w:val="22"/>
          <w:szCs w:val="22"/>
        </w:rPr>
        <w:t xml:space="preserve">At least six societies never used in any prior CAMS run, panels of ≥100 consecutive years at annual resolution. Society selection follows a coverage-stratified rule fixed here: at least half of the panel must be societies with thin or predominantly non-anglophone historiographic coverage (candidate strata: Sahelian, Andean, Southeast Asian, Central Asian polities), the remainder drawn from well-documented cases as anchors. The final society list is appended to this registration, with a timestamp, before any scoring begins. Rationale: the invariant is of interest only if it is not a property of well-documented great powers; if homogeneity degrades exactly where the corpus thins, the instrument has measured the corpus.</w:t>
      </w:r>
    </w:p>
    <w:p>
      <w:pPr>
        <w:spacing w:after="160" w:line="300"/>
        <w:jc w:val="both"/>
      </w:pPr>
      <w:r>
        <w:rPr>
          <w:b/>
          <w:bCs/>
          <w:sz w:val="22"/>
          <w:szCs w:val="22"/>
        </w:rPr>
        <w:t xml:space="preserve">Scoring. </w:t>
      </w:r>
      <w:r>
        <w:rPr>
          <w:sz w:val="22"/>
          <w:szCs w:val="22"/>
        </w:rPr>
        <w:t xml:space="preserve">Panels are produced by a pipeline independent (Section 2.6) of all pipelines used in prior CAMS work. Scorer prompts must not contain the hypotheses of this registration. The analyst performing the Section 6 statistics receives society identities only after the statistics are computed, or the computation is performed by locked code, whichever is operationally simpler; either satisfies the blinding requirement because the tests are fully mechanical.</w:t>
      </w:r>
    </w:p>
    <w:p>
      <w:pPr>
        <w:spacing w:after="160" w:line="300"/>
        <w:jc w:val="both"/>
      </w:pPr>
      <w:r>
        <w:rPr>
          <w:b/>
          <w:bCs/>
          <w:sz w:val="22"/>
          <w:szCs w:val="22"/>
        </w:rPr>
        <w:t xml:space="preserve">Analysis. </w:t>
      </w:r>
      <w:r>
        <w:rPr>
          <w:sz w:val="22"/>
          <w:szCs w:val="22"/>
        </w:rPr>
        <w:t xml:space="preserve">Episode decomposition per Section 2.3; shock series per Section 2.2; statistical procedure per Section 6. H1 and H2 are evaluated jointly.</w:t>
      </w:r>
    </w:p>
    <w:p>
      <w:pPr>
        <w:spacing w:after="160" w:line="300"/>
        <w:jc w:val="both"/>
      </w:pPr>
      <w:r>
        <w:rPr>
          <w:b/>
          <w:bCs/>
          <w:sz w:val="22"/>
          <w:szCs w:val="22"/>
        </w:rPr>
        <w:t xml:space="preserve">Minimum data condition. </w:t>
      </w:r>
      <w:r>
        <w:rPr>
          <w:sz w:val="22"/>
          <w:szCs w:val="22"/>
        </w:rPr>
        <w:t xml:space="preserve">A society enters the H1 test only if it contributes ≥10 shocks above its KS-chosen xmin, and the H2 test only if it contributes ≥6 episodes. If fewer than six societies satisfy a condition, additional societies are scored under the same stratification rule until six do; this extension rule is fixed now and is not a deviation.</w:t>
      </w:r>
    </w:p>
    <w:p>
      <w:pPr>
        <w:pStyle w:val="Heading2"/>
        <w:spacing w:after="120" w:before="260"/>
      </w:pPr>
      <w:r>
        <w:t xml:space="preserve">Tier 2 — Corpus-Contrast Experiment (H3a, H3b)</w:t>
      </w:r>
    </w:p>
    <w:p>
      <w:pPr>
        <w:spacing w:after="160" w:line="300"/>
        <w:jc w:val="both"/>
      </w:pPr>
      <w:r>
        <w:rPr>
          <w:b/>
          <w:bCs/>
          <w:sz w:val="22"/>
          <w:szCs w:val="22"/>
        </w:rPr>
        <w:t xml:space="preserve">Sample. </w:t>
      </w:r>
      <w:r>
        <w:rPr>
          <w:sz w:val="22"/>
          <w:szCs w:val="22"/>
        </w:rPr>
        <w:t xml:space="preserve">Three societies whose twentieth-century historiography is materially contested across scholarly traditions: China, Russia, and Iran. Each is scored twice over an identical span (1900–2025): once by a pipeline prompted toward English-language scholarship, once by a pipeline prompted toward the society’s own scholarly tradition and language, using different base model families where feasible.</w:t>
      </w:r>
    </w:p>
    <w:p>
      <w:pPr>
        <w:spacing w:after="160" w:line="300"/>
        <w:jc w:val="both"/>
      </w:pPr>
      <w:r>
        <w:rPr>
          <w:b/>
          <w:bCs/>
          <w:sz w:val="22"/>
          <w:szCs w:val="22"/>
        </w:rPr>
        <w:t xml:space="preserve">Predictions. </w:t>
      </w:r>
      <w:r>
        <w:rPr>
          <w:sz w:val="22"/>
          <w:szCs w:val="22"/>
        </w:rPr>
        <w:t xml:space="preserve">H3a (morphology alignment) and H3b (magnitude divergence) as tabled in Section 3. Concordance operationalisations: family placement uses the frozen family taxonomy appended to this registration; major transitions are the five largest |ΔV̄| events per panel; node-activation signatures are the time-mean cognitive-activation rank vectors over the eight nodes.</w:t>
      </w:r>
    </w:p>
    <w:p>
      <w:pPr>
        <w:spacing w:after="160" w:line="300"/>
        <w:jc w:val="both"/>
      </w:pPr>
      <w:r>
        <w:rPr>
          <w:b/>
          <w:bCs/>
          <w:sz w:val="22"/>
          <w:szCs w:val="22"/>
        </w:rPr>
        <w:t xml:space="preserve">Interpretation constraint fixed in advance. </w:t>
      </w:r>
      <w:r>
        <w:rPr>
          <w:sz w:val="22"/>
          <w:szCs w:val="22"/>
        </w:rPr>
        <w:t xml:space="preserve">This tier quantifies editorial temperature symmetrically: it is designed to detect hostile and flattering bias with the same instrument, and its results may not be quoted selectively for either purpose. If H3a holds and H3b holds, the morphology/magnitude quarantine is validated as a bias-isolation mechanism and magnitude-level cross-national comparisons remain prohibited in framework outputs. If H3a fails, the coordinate system’s claim to measure societies rather than narratives is materially damaged, and the framework’s scope statement must be rewritten accordingly (Section 8).</w:t>
      </w:r>
    </w:p>
    <w:p>
      <w:pPr>
        <w:pStyle w:val="Heading2"/>
        <w:spacing w:after="120" w:before="260"/>
      </w:pPr>
      <w:r>
        <w:t xml:space="preserve">Tier 3 — Coordinate Calibration and Baseline Gauntlet (H4 and calibration items)</w:t>
      </w:r>
    </w:p>
    <w:p>
      <w:pPr>
        <w:spacing w:after="160" w:line="300"/>
        <w:jc w:val="both"/>
      </w:pPr>
      <w:r>
        <w:rPr>
          <w:b/>
          <w:bCs/>
          <w:sz w:val="22"/>
          <w:szCs w:val="22"/>
        </w:rPr>
        <w:t xml:space="preserve">3a — w_A recalibration. </w:t>
      </w:r>
      <w:r>
        <w:rPr>
          <w:sz w:val="22"/>
          <w:szCs w:val="22"/>
        </w:rPr>
        <w:t xml:space="preserve">Sweep w_A ∈ [0, 1] in steps of 0.1 against two non-fingerprint objectives: (i) agreement of the six-regime classifier with consensus periodisations, with regime thresholds re-derived per w_A by quantile matching on the pooled training panels; (ii) early-warning lead time before endogenous transitions. A weight is adopted only if it improves a non-fingerprint objective; improvement in identification accuracy alone is insufficient by rule, because identification gain is confounded with historiographic fingerprint gain.</w:t>
      </w:r>
    </w:p>
    <w:p>
      <w:pPr>
        <w:spacing w:after="160" w:line="300"/>
        <w:jc w:val="both"/>
      </w:pPr>
      <w:r>
        <w:rPr>
          <w:b/>
          <w:bCs/>
          <w:sz w:val="22"/>
          <w:szCs w:val="22"/>
        </w:rPr>
        <w:t xml:space="preserve">3b — Coupling ablation. </w:t>
      </w:r>
      <w:r>
        <w:rPr>
          <w:sz w:val="22"/>
          <w:szCs w:val="22"/>
        </w:rPr>
        <w:t xml:space="preserve">The stipulated bond-strength form B_ij = √(q_i·q_j)·2^(−(S_i+S_j)/10) is compared against plain node-stress correlation on identical tasks (family clustering; regime classification). If the stipulated form does not outperform the simple alternative, the simple alternative replaces it in v15.</w:t>
      </w:r>
    </w:p>
    <w:p>
      <w:pPr>
        <w:spacing w:after="160" w:line="300"/>
        <w:jc w:val="both"/>
      </w:pPr>
      <w:r>
        <w:rPr>
          <w:b/>
          <w:bCs/>
          <w:sz w:val="22"/>
          <w:szCs w:val="22"/>
        </w:rPr>
        <w:t xml:space="preserve">3c — Cheap-covariate baseline (H4). </w:t>
      </w:r>
      <w:r>
        <w:rPr>
          <w:sz w:val="22"/>
          <w:szCs w:val="22"/>
        </w:rPr>
        <w:t xml:space="preserve">Blind family-level identification is repeated under the original protocol using only GDP per capita and regime-type codes for the same societies and years. CAMS is retained as a necessary (not merely elegant) decomposition only if it exceeds this baseline (Section 6.6). A CAMS failure here is reported with the same prominence as a success.</w:t>
      </w:r>
    </w:p>
    <w:p>
      <w:pPr>
        <w:pStyle w:val="Heading2"/>
        <w:spacing w:after="120" w:before="260"/>
      </w:pPr>
      <w:r>
        <w:t xml:space="preserve">Tier 4 — Corpus-Independence Anchor and Forward Registry (H5)</w:t>
      </w:r>
    </w:p>
    <w:p>
      <w:pPr>
        <w:spacing w:after="160" w:line="300"/>
        <w:jc w:val="both"/>
      </w:pPr>
      <w:r>
        <w:rPr>
          <w:b/>
          <w:bCs/>
          <w:sz w:val="22"/>
          <w:szCs w:val="22"/>
        </w:rPr>
        <w:t xml:space="preserve">4a — Archival series. </w:t>
      </w:r>
      <w:r>
        <w:rPr>
          <w:sz w:val="22"/>
          <w:szCs w:val="22"/>
        </w:rPr>
        <w:t xml:space="preserve">One society is scored with no language model in the loop: V̄ is constructed from archival or human-coded indicators mapped onto the node ontology by a mapping fixed before data collection (candidate indicator classes: fiscal capacity, conflict mortality, infrastructure stock, literacy/schooling, trade volume). The test is whether the archival series’ |ΔV̄| tail is statistically indistinguishable from the ensemble panels’ (two-sample tail comparison, Section 6.4). One passing archival series is registered in advance as evidentially weightier than any number of additional model-scored replications, because it is the only test that exits the shared-corpus loop.</w:t>
      </w:r>
    </w:p>
    <w:p>
      <w:pPr>
        <w:spacing w:after="160" w:line="300"/>
        <w:jc w:val="both"/>
      </w:pPr>
      <w:r>
        <w:rPr>
          <w:b/>
          <w:bCs/>
          <w:sz w:val="22"/>
          <w:szCs w:val="22"/>
        </w:rPr>
        <w:t xml:space="preserve">4b — Forward registry. </w:t>
      </w:r>
      <w:r>
        <w:rPr>
          <w:sz w:val="22"/>
          <w:szCs w:val="22"/>
        </w:rPr>
        <w:t xml:space="preserve">Filed with this registration and scored on 1 July 2031: (i) the open basin-exit morphologies identified in the prior blind analysis (Japan-panel exit from 1998; South-Africa-panel exit from 2014) persist or resolve per the criteria in the registry appendix; (ii) early-warning signatures precede endogenous transitions and are absent before exogenous shocks in all data scored between now and then. Prediction is the framework’s empty layer; the registry starts the clock.</w:t>
      </w:r>
    </w:p>
    <w:p>
      <w:pPr>
        <w:pStyle w:val="Heading1"/>
        <w:spacing w:after="160" w:before="320"/>
      </w:pPr>
      <w:r>
        <w:t xml:space="preserve">5. Sequencing and Concurrency</w:t>
      </w:r>
    </w:p>
    <w:p>
      <w:pPr>
        <w:spacing w:after="160" w:line="300"/>
        <w:jc w:val="both"/>
      </w:pPr>
      <w:r>
        <w:rPr>
          <w:sz w:val="22"/>
          <w:szCs w:val="22"/>
        </w:rPr>
        <w:t xml:space="preserve">Tier 0 is effective immediately. Tiers 1 and 2 may run concurrently: they require different pipelines and different societies, and neither analysis depends on the other’s data. Tier 3 runs on pooled existing-plus-Tier-1 data after Tier 1 scoring is complete. Tier 4a is a background long-lead task; Tier 4b is filed now. No analysis of Tier 1 or Tier 2 data may begin before the society lists and scorer prompts are appended and timestamped.</w:t>
      </w:r>
    </w:p>
    <w:p>
      <w:pPr>
        <w:pStyle w:val="Heading1"/>
        <w:spacing w:after="160" w:before="320"/>
      </w:pPr>
      <w:r>
        <w:t xml:space="preserve">6. Statistical Procedures (locked)</w:t>
      </w:r>
    </w:p>
    <w:p>
      <w:pPr>
        <w:spacing w:after="160" w:line="300"/>
        <w:jc w:val="both"/>
      </w:pPr>
      <w:r>
        <w:rPr>
          <w:b/>
          <w:bCs/>
          <w:sz w:val="22"/>
          <w:szCs w:val="22"/>
        </w:rPr>
        <w:t xml:space="preserve">6.1 Tail fitting. </w:t>
      </w:r>
      <w:r>
        <w:rPr>
          <w:sz w:val="22"/>
          <w:szCs w:val="22"/>
        </w:rPr>
        <w:t xml:space="preserve">Continuous power-law tails are fitted by maximum likelihood (Hill/Clauset estimator), with xmin chosen per series by Kolmogorov–Smirnov distance minimisation. Bootstrap confidence intervals (≥2,000 resamples) are reported for every exponent. Goodness of fit against a log-normal alternative is reported per series (likelihood ratio with Vuong correction); if the log-normal is preferred in a majority of series, homogeneity is tested on the log-normal parameters instead, and the power-law framing is dropped from all conclusions.</w:t>
      </w:r>
    </w:p>
    <w:p>
      <w:pPr>
        <w:spacing w:after="160" w:line="300"/>
        <w:jc w:val="both"/>
      </w:pPr>
      <w:r>
        <w:rPr>
          <w:b/>
          <w:bCs/>
          <w:sz w:val="22"/>
          <w:szCs w:val="22"/>
        </w:rPr>
        <w:t xml:space="preserve">6.2 Homogeneity test (H1). </w:t>
      </w:r>
      <w:r>
        <w:rPr>
          <w:sz w:val="22"/>
          <w:szCs w:val="22"/>
        </w:rPr>
        <w:t xml:space="preserve">Likelihood-ratio test of a single common tail parameter against per-series parameters, degrees of freedom k−1 for k qualifying series, evaluated at α = 0.05. The registered claim is the homogeneity property; no point value of τ is registered, and exploratory values from v14 data (1.32; 1.98) carry no confirmatory status.</w:t>
      </w:r>
    </w:p>
    <w:p>
      <w:pPr>
        <w:spacing w:after="160" w:line="300"/>
        <w:jc w:val="both"/>
      </w:pPr>
      <w:r>
        <w:rPr>
          <w:b/>
          <w:bCs/>
          <w:sz w:val="22"/>
          <w:szCs w:val="22"/>
        </w:rPr>
        <w:t xml:space="preserve">6.3 Duration test (H2). </w:t>
      </w:r>
      <w:r>
        <w:rPr>
          <w:sz w:val="22"/>
          <w:szCs w:val="22"/>
        </w:rPr>
        <w:t xml:space="preserve">Durations are integer-valued; the homogeneity test uses either a discrete power-law LR test or a distribution-free k-sample Anderson–Darling test on durations ≥2 years — whichever the appended analysis code implements; the choice is fixed in the code before data arrive and both may be reported.</w:t>
      </w:r>
    </w:p>
    <w:p>
      <w:pPr>
        <w:spacing w:after="160" w:line="300"/>
        <w:jc w:val="both"/>
      </w:pPr>
      <w:r>
        <w:rPr>
          <w:b/>
          <w:bCs/>
          <w:sz w:val="22"/>
          <w:szCs w:val="22"/>
        </w:rPr>
        <w:t xml:space="preserve">6.4 Archival comparison (Tier 4a). </w:t>
      </w:r>
      <w:r>
        <w:rPr>
          <w:sz w:val="22"/>
          <w:szCs w:val="22"/>
        </w:rPr>
        <w:t xml:space="preserve">Two-sample tail comparison between the archival series’ shocks and the pooled ensemble shocks: LR homogeneity test as in 6.2 with k = 2, supplemented by a two-sample Anderson–Darling test on the above-xmin exceedances.</w:t>
      </w:r>
    </w:p>
    <w:p>
      <w:pPr>
        <w:spacing w:after="160" w:line="300"/>
        <w:jc w:val="both"/>
      </w:pPr>
      <w:r>
        <w:rPr>
          <w:b/>
          <w:bCs/>
          <w:sz w:val="22"/>
          <w:szCs w:val="22"/>
        </w:rPr>
        <w:t xml:space="preserve">6.5 Power analysis (binding). </w:t>
      </w:r>
      <w:r>
        <w:rPr>
          <w:sz w:val="22"/>
          <w:szCs w:val="22"/>
        </w:rPr>
        <w:t xml:space="preserve">Before any Tier 1 verdict is claimed, a simulation study is run at the achieved sample sizes: synthetic panels are generated under a heterogeneous alternative differing by Δτ = 0.3 between society groups, and the LR test’s rejection rate is estimated. A failure to reject supports H1 only if this simulated power is ≥0.8; otherwise the verdict is recorded as ‘underpowered — no conclusion’, which is a registered possible outcome, not a deviation. The same standard applies symmetrically to H2.</w:t>
      </w:r>
    </w:p>
    <w:p>
      <w:pPr>
        <w:spacing w:after="160" w:line="300"/>
        <w:jc w:val="both"/>
      </w:pPr>
      <w:r>
        <w:rPr>
          <w:b/>
          <w:bCs/>
          <w:sz w:val="22"/>
          <w:szCs w:val="22"/>
        </w:rPr>
        <w:t xml:space="preserve">6.6 Baseline comparison (H4). </w:t>
      </w:r>
      <w:r>
        <w:rPr>
          <w:sz w:val="22"/>
          <w:szCs w:val="22"/>
        </w:rPr>
        <w:t xml:space="preserve">CAMS and baseline identification are run under identical blinding, candidate pools, and analyst conditions. The accuracy difference is evaluated by permutation of condition labels over societies (≥10,000 permutations), one-sided, α = 0.05.</w:t>
      </w:r>
    </w:p>
    <w:p>
      <w:pPr>
        <w:spacing w:after="160" w:line="300"/>
        <w:jc w:val="both"/>
      </w:pPr>
      <w:r>
        <w:rPr>
          <w:b/>
          <w:bCs/>
          <w:sz w:val="22"/>
          <w:szCs w:val="22"/>
        </w:rPr>
        <w:t xml:space="preserve">6.7 Multiplicity. </w:t>
      </w:r>
      <w:r>
        <w:rPr>
          <w:sz w:val="22"/>
          <w:szCs w:val="22"/>
        </w:rPr>
        <w:t xml:space="preserve">Each hypothesis carries a single registered primary test as specified above; no correction across hypotheses is applied because each is confirmatory for a distinct claim. All secondary and exploratory analyses are labelled as such in reporting and can confirm nothing.</w:t>
      </w:r>
    </w:p>
    <w:p>
      <w:pPr>
        <w:pStyle w:val="Heading1"/>
        <w:spacing w:after="160" w:before="320"/>
      </w:pPr>
      <w:r>
        <w:t xml:space="preserve">7. Data Handling and Exclusion Rules (fixed in advance)</w:t>
      </w:r>
    </w:p>
    <w:p>
      <w:pPr>
        <w:pStyle w:val="ListParagraph"/>
        <w:numPr>
          <w:ilvl w:val="0"/>
          <w:numId w:val="2"/>
        </w:numPr>
        <w:spacing w:after="100" w:line="280"/>
      </w:pPr>
      <w:r>
        <w:rPr>
          <w:sz w:val="22"/>
          <w:szCs w:val="22"/>
        </w:rPr>
        <w:t xml:space="preserve">No society, episode, or shock may be excluded post hoc. The only permissible exclusions are those defined here, applied mechanically.</w:t>
      </w:r>
    </w:p>
    <w:p>
      <w:pPr>
        <w:pStyle w:val="ListParagraph"/>
        <w:numPr>
          <w:ilvl w:val="0"/>
          <w:numId w:val="2"/>
        </w:numPr>
        <w:spacing w:after="100" w:line="280"/>
      </w:pPr>
      <w:r>
        <w:rPr>
          <w:sz w:val="22"/>
          <w:szCs w:val="22"/>
        </w:rPr>
        <w:t xml:space="preserve">Chronic-crisis handling: societies in prolonged crisis regimes are retained in full. The v15 primitives are stable under chronic regimes by construction (no compounding), so the v14-style exclusion pressure does not arise. If any construction is nevertheless found to diverge, the analysis halts and the construction fault is reported before any hypothesis verdict is claimed.</w:t>
      </w:r>
    </w:p>
    <w:p>
      <w:pPr>
        <w:pStyle w:val="ListParagraph"/>
        <w:numPr>
          <w:ilvl w:val="0"/>
          <w:numId w:val="2"/>
        </w:numPr>
        <w:spacing w:after="100" w:line="280"/>
      </w:pPr>
      <w:r>
        <w:rPr>
          <w:sz w:val="22"/>
          <w:szCs w:val="22"/>
        </w:rPr>
        <w:t xml:space="preserve">Carry-forward gating: any series in which more than 30% of year-over-year node values are carried forward unchanged is flagged, and temporal claims (H1, H2) are reported both with and without flagged series; the with-flag analysis is primary only if at least six unflagged series qualify.</w:t>
      </w:r>
    </w:p>
    <w:p>
      <w:pPr>
        <w:pStyle w:val="ListParagraph"/>
        <w:numPr>
          <w:ilvl w:val="0"/>
          <w:numId w:val="2"/>
        </w:numPr>
        <w:spacing w:after="100" w:line="280"/>
      </w:pPr>
      <w:r>
        <w:rPr>
          <w:sz w:val="22"/>
          <w:szCs w:val="22"/>
        </w:rPr>
        <w:t xml:space="preserve">Scorer-output validation: panels failing mechanical integrity checks (missing node-years, out-of-range scores) are returned for re-scoring, not repaired by the analyst.</w:t>
      </w:r>
    </w:p>
    <w:p>
      <w:pPr>
        <w:pStyle w:val="Heading1"/>
        <w:spacing w:after="160" w:before="320"/>
      </w:pPr>
      <w:r>
        <w:t xml:space="preserve">8. Decision Rules and Interpretation</w:t>
      </w:r>
    </w:p>
    <w:p>
      <w:pPr>
        <w:spacing w:after="160" w:line="300"/>
        <w:jc w:val="both"/>
      </w:pPr>
      <w:r>
        <w:rPr>
          <w:sz w:val="22"/>
          <w:szCs w:val="22"/>
        </w:rPr>
        <w:t xml:space="preserve">The following table is the binding interpretation map. Outcomes not covered default to the most conservative adjacent row.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shd w:fill="D9E2F3" w:val="clear"/>
            <w:tcMar>
              <w:top w:type="dxa" w:w="60"/>
              <w:left w:type="dxa" w:w="100"/>
              <w:bottom w:type="dxa" w:w="60"/>
              <w:right w:type="dxa" w:w="100"/>
            </w:tcMar>
          </w:tcPr>
          <w:p>
            <w:pPr>
              <w:spacing w:after="0"/>
              <w:jc w:val="left"/>
            </w:pPr>
            <w:r>
              <w:rPr>
                <w:b/>
                <w:bCs/>
                <w:sz w:val="20"/>
                <w:szCs w:val="20"/>
              </w:rPr>
              <w:t xml:space="preserve">Outcome</w:t>
            </w:r>
          </w:p>
        </w:tc>
        <w:tc>
          <w:tcPr>
            <w:tcW w:type="dxa" w:w="6240"/>
            <w:shd w:fill="D9E2F3" w:val="clear"/>
            <w:tcMar>
              <w:top w:type="dxa" w:w="60"/>
              <w:left w:type="dxa" w:w="100"/>
              <w:bottom w:type="dxa" w:w="60"/>
              <w:right w:type="dxa" w:w="100"/>
            </w:tcMar>
          </w:tcPr>
          <w:p>
            <w:pPr>
              <w:spacing w:after="0"/>
              <w:jc w:val="left"/>
            </w:pPr>
            <w:r>
              <w:rPr>
                <w:b/>
                <w:bCs/>
                <w:sz w:val="20"/>
                <w:szCs w:val="20"/>
              </w:rPr>
              <w:t xml:space="preserve">Registered interpretation</w:t>
            </w:r>
          </w:p>
        </w:tc>
      </w:tr>
      <w:tr>
        <w:tc>
          <w:tcPr>
            <w:tcW w:type="dxa" w:w="3120"/>
            <w:shd w:fill="F2F6FC" w:val="clear"/>
            <w:tcMar>
              <w:top w:type="dxa" w:w="60"/>
              <w:left w:type="dxa" w:w="100"/>
              <w:bottom w:type="dxa" w:w="60"/>
              <w:right w:type="dxa" w:w="100"/>
            </w:tcMar>
          </w:tcPr>
          <w:p>
            <w:pPr>
              <w:spacing w:after="0"/>
              <w:jc w:val="left"/>
            </w:pPr>
            <w:r>
              <w:rPr>
                <w:b w:val="false"/>
                <w:bCs w:val="false"/>
                <w:sz w:val="20"/>
                <w:szCs w:val="20"/>
              </w:rPr>
              <w:t xml:space="preserve">H1 fails (powered)</w:t>
            </w:r>
          </w:p>
        </w:tc>
        <w:tc>
          <w:tcPr>
            <w:tcW w:type="dxa" w:w="6240"/>
            <w:shd w:fill="F2F6FC" w:val="clear"/>
            <w:tcMar>
              <w:top w:type="dxa" w:w="60"/>
              <w:left w:type="dxa" w:w="100"/>
              <w:bottom w:type="dxa" w:w="60"/>
              <w:right w:type="dxa" w:w="100"/>
            </w:tcMar>
          </w:tcPr>
          <w:p>
            <w:pPr>
              <w:spacing w:after="0"/>
              <w:jc w:val="left"/>
            </w:pPr>
            <w:r>
              <w:rPr>
                <w:b w:val="false"/>
                <w:bCs w:val="false"/>
                <w:sz w:val="20"/>
                <w:szCs w:val="20"/>
              </w:rPr>
              <w:t xml:space="preserve">The kinematic claim is dead. CAMS is reframed as a path-dependency taxonomy and measurement coordinate system; physics-adjacent vocabulary is removed from all framework documents.</w:t>
            </w:r>
          </w:p>
        </w:tc>
      </w:tr>
      <w:tr>
        <w:tc>
          <w:tcPr>
            <w:tcW w:type="dxa" w:w="3120"/>
            <w:tcMar>
              <w:top w:type="dxa" w:w="60"/>
              <w:left w:type="dxa" w:w="100"/>
              <w:bottom w:type="dxa" w:w="60"/>
              <w:right w:type="dxa" w:w="100"/>
            </w:tcMar>
          </w:tcPr>
          <w:p>
            <w:pPr>
              <w:spacing w:after="0"/>
              <w:jc w:val="left"/>
            </w:pPr>
            <w:r>
              <w:rPr>
                <w:b w:val="false"/>
                <w:bCs w:val="false"/>
                <w:sz w:val="20"/>
                <w:szCs w:val="20"/>
              </w:rPr>
              <w:t xml:space="preserve">H1 holds, H2 fails</w:t>
            </w:r>
          </w:p>
        </w:tc>
        <w:tc>
          <w:tcPr>
            <w:tcW w:type="dxa" w:w="6240"/>
            <w:tcMar>
              <w:top w:type="dxa" w:w="60"/>
              <w:left w:type="dxa" w:w="100"/>
              <w:bottom w:type="dxa" w:w="60"/>
              <w:right w:type="dxa" w:w="100"/>
            </w:tcMar>
          </w:tcPr>
          <w:p>
            <w:pPr>
              <w:spacing w:after="0"/>
              <w:jc w:val="left"/>
            </w:pPr>
            <w:r>
              <w:rPr>
                <w:b w:val="false"/>
                <w:bCs w:val="false"/>
                <w:sz w:val="20"/>
                <w:szCs w:val="20"/>
              </w:rPr>
              <w:t xml:space="preserve">The two-sided structure collapses; a globally homogeneous outcome is treated as evidence of pipeline smoothing, not of social invariance. Verdict: pipeline artefact suspected; corpus-independence tier becomes mandatory before any further claim.</w:t>
            </w:r>
          </w:p>
        </w:tc>
      </w:tr>
      <w:tr>
        <w:tc>
          <w:tcPr>
            <w:tcW w:type="dxa" w:w="3120"/>
            <w:shd w:fill="F2F6FC" w:val="clear"/>
            <w:tcMar>
              <w:top w:type="dxa" w:w="60"/>
              <w:left w:type="dxa" w:w="100"/>
              <w:bottom w:type="dxa" w:w="60"/>
              <w:right w:type="dxa" w:w="100"/>
            </w:tcMar>
          </w:tcPr>
          <w:p>
            <w:pPr>
              <w:spacing w:after="0"/>
              <w:jc w:val="left"/>
            </w:pPr>
            <w:r>
              <w:rPr>
                <w:b w:val="false"/>
                <w:bCs w:val="false"/>
                <w:sz w:val="20"/>
                <w:szCs w:val="20"/>
              </w:rPr>
              <w:t xml:space="preserve">H1 and H2 hold; H3a fails</w:t>
            </w:r>
          </w:p>
        </w:tc>
        <w:tc>
          <w:tcPr>
            <w:tcW w:type="dxa" w:w="6240"/>
            <w:shd w:fill="F2F6FC" w:val="clear"/>
            <w:tcMar>
              <w:top w:type="dxa" w:w="60"/>
              <w:left w:type="dxa" w:w="100"/>
              <w:bottom w:type="dxa" w:w="60"/>
              <w:right w:type="dxa" w:w="100"/>
            </w:tcMar>
          </w:tcPr>
          <w:p>
            <w:pPr>
              <w:spacing w:after="0"/>
              <w:jc w:val="left"/>
            </w:pPr>
            <w:r>
              <w:rPr>
                <w:b w:val="false"/>
                <w:bCs w:val="false"/>
                <w:sz w:val="20"/>
                <w:szCs w:val="20"/>
              </w:rPr>
              <w:t xml:space="preserve">The instrument measures historiography. The framework is reframed as comparative-narrative analysis; claims about societies are withdrawn in favour of claims about corpora.</w:t>
            </w:r>
          </w:p>
        </w:tc>
      </w:tr>
      <w:tr>
        <w:tc>
          <w:tcPr>
            <w:tcW w:type="dxa" w:w="3120"/>
            <w:tcMar>
              <w:top w:type="dxa" w:w="60"/>
              <w:left w:type="dxa" w:w="100"/>
              <w:bottom w:type="dxa" w:w="60"/>
              <w:right w:type="dxa" w:w="100"/>
            </w:tcMar>
          </w:tcPr>
          <w:p>
            <w:pPr>
              <w:spacing w:after="0"/>
              <w:jc w:val="left"/>
            </w:pPr>
            <w:r>
              <w:rPr>
                <w:b w:val="false"/>
                <w:bCs w:val="false"/>
                <w:sz w:val="20"/>
                <w:szCs w:val="20"/>
              </w:rPr>
              <w:t xml:space="preserve">H1–H3 hold; H4 fails</w:t>
            </w:r>
          </w:p>
        </w:tc>
        <w:tc>
          <w:tcPr>
            <w:tcW w:type="dxa" w:w="6240"/>
            <w:tcMar>
              <w:top w:type="dxa" w:w="60"/>
              <w:left w:type="dxa" w:w="100"/>
              <w:bottom w:type="dxa" w:w="60"/>
              <w:right w:type="dxa" w:w="100"/>
            </w:tcMar>
          </w:tcPr>
          <w:p>
            <w:pPr>
              <w:spacing w:after="0"/>
              <w:jc w:val="left"/>
            </w:pPr>
            <w:r>
              <w:rPr>
                <w:b w:val="false"/>
                <w:bCs w:val="false"/>
                <w:sz w:val="20"/>
                <w:szCs w:val="20"/>
              </w:rPr>
              <w:t xml:space="preserve">CAMS is a valid but redundant coordinate system relative to cheap covariates. Continued development is justified only by residual findings that the baseline cannot express (currently: compensation dynamics; node-signature structure).</w:t>
            </w:r>
          </w:p>
        </w:tc>
      </w:tr>
      <w:tr>
        <w:tc>
          <w:tcPr>
            <w:tcW w:type="dxa" w:w="3120"/>
            <w:shd w:fill="F2F6FC" w:val="clear"/>
            <w:tcMar>
              <w:top w:type="dxa" w:w="60"/>
              <w:left w:type="dxa" w:w="100"/>
              <w:bottom w:type="dxa" w:w="60"/>
              <w:right w:type="dxa" w:w="100"/>
            </w:tcMar>
          </w:tcPr>
          <w:p>
            <w:pPr>
              <w:spacing w:after="0"/>
              <w:jc w:val="left"/>
            </w:pPr>
            <w:r>
              <w:rPr>
                <w:b w:val="false"/>
                <w:bCs w:val="false"/>
                <w:sz w:val="20"/>
                <w:szCs w:val="20"/>
              </w:rPr>
              <w:t xml:space="preserve">H1–H4 hold</w:t>
            </w:r>
          </w:p>
        </w:tc>
        <w:tc>
          <w:tcPr>
            <w:tcW w:type="dxa" w:w="6240"/>
            <w:shd w:fill="F2F6FC" w:val="clear"/>
            <w:tcMar>
              <w:top w:type="dxa" w:w="60"/>
              <w:left w:type="dxa" w:w="100"/>
              <w:bottom w:type="dxa" w:w="60"/>
              <w:right w:type="dxa" w:w="100"/>
            </w:tcMar>
          </w:tcPr>
          <w:p>
            <w:pPr>
              <w:spacing w:after="0"/>
              <w:jc w:val="left"/>
            </w:pPr>
            <w:r>
              <w:rPr>
                <w:b w:val="false"/>
                <w:bCs w:val="false"/>
                <w:sz w:val="20"/>
                <w:szCs w:val="20"/>
              </w:rPr>
              <w:t xml:space="preserve">CAMS holds a demonstrated coordinate system, one pipeline-independent kinematic invariant, and a quantified bias-isolation mechanism. Mechanism-level hypotheses (e.g., self-organised-criticality-type dynamics) become legitimate research questions. No dynamics claim is licensed by this registration itself.</w:t>
            </w:r>
          </w:p>
        </w:tc>
      </w:tr>
      <w:tr>
        <w:tc>
          <w:tcPr>
            <w:tcW w:type="dxa" w:w="3120"/>
            <w:tcMar>
              <w:top w:type="dxa" w:w="60"/>
              <w:left w:type="dxa" w:w="100"/>
              <w:bottom w:type="dxa" w:w="60"/>
              <w:right w:type="dxa" w:w="100"/>
            </w:tcMar>
          </w:tcPr>
          <w:p>
            <w:pPr>
              <w:spacing w:after="0"/>
              <w:jc w:val="left"/>
            </w:pPr>
            <w:r>
              <w:rPr>
                <w:b w:val="false"/>
                <w:bCs w:val="false"/>
                <w:sz w:val="20"/>
                <w:szCs w:val="20"/>
              </w:rPr>
              <w:t xml:space="preserve">Tier 4a passes</w:t>
            </w:r>
          </w:p>
        </w:tc>
        <w:tc>
          <w:tcPr>
            <w:tcW w:type="dxa" w:w="6240"/>
            <w:tcMar>
              <w:top w:type="dxa" w:w="60"/>
              <w:left w:type="dxa" w:w="100"/>
              <w:bottom w:type="dxa" w:w="60"/>
              <w:right w:type="dxa" w:w="100"/>
            </w:tcMar>
          </w:tcPr>
          <w:p>
            <w:pPr>
              <w:spacing w:after="0"/>
              <w:jc w:val="left"/>
            </w:pPr>
            <w:r>
              <w:rPr>
                <w:b w:val="false"/>
                <w:bCs w:val="false"/>
                <w:sz w:val="20"/>
                <w:szCs w:val="20"/>
              </w:rPr>
              <w:t xml:space="preserve">First evidence of corpus-independent measurement. This is the strongest single result available to the program and is reported as such regardless of other outcomes.</w:t>
            </w:r>
          </w:p>
        </w:tc>
      </w:tr>
      <w:tr>
        <w:tc>
          <w:tcPr>
            <w:tcW w:type="dxa" w:w="3120"/>
            <w:shd w:fill="F2F6FC" w:val="clear"/>
            <w:tcMar>
              <w:top w:type="dxa" w:w="60"/>
              <w:left w:type="dxa" w:w="100"/>
              <w:bottom w:type="dxa" w:w="60"/>
              <w:right w:type="dxa" w:w="100"/>
            </w:tcMar>
          </w:tcPr>
          <w:p>
            <w:pPr>
              <w:spacing w:after="0"/>
              <w:jc w:val="left"/>
            </w:pPr>
            <w:r>
              <w:rPr>
                <w:b w:val="false"/>
                <w:bCs w:val="false"/>
                <w:sz w:val="20"/>
                <w:szCs w:val="20"/>
              </w:rPr>
              <w:t xml:space="preserve">Any underpowered non-rejection</w:t>
            </w:r>
          </w:p>
        </w:tc>
        <w:tc>
          <w:tcPr>
            <w:tcW w:type="dxa" w:w="6240"/>
            <w:shd w:fill="F2F6FC" w:val="clear"/>
            <w:tcMar>
              <w:top w:type="dxa" w:w="60"/>
              <w:left w:type="dxa" w:w="100"/>
              <w:bottom w:type="dxa" w:w="60"/>
              <w:right w:type="dxa" w:w="100"/>
            </w:tcMar>
          </w:tcPr>
          <w:p>
            <w:pPr>
              <w:spacing w:after="0"/>
              <w:jc w:val="left"/>
            </w:pPr>
            <w:r>
              <w:rPr>
                <w:b w:val="false"/>
                <w:bCs w:val="false"/>
                <w:sz w:val="20"/>
                <w:szCs w:val="20"/>
              </w:rPr>
              <w:t xml:space="preserve">Recorded as ‘no conclusion’; neither supports nor damages the hypothesis; sample extension per Tier 1 rules.</w:t>
            </w:r>
          </w:p>
        </w:tc>
      </w:tr>
    </w:tbl>
    <w:p>
      <w:pPr>
        <w:spacing w:after="160" w:line="300"/>
        <w:jc w:val="both"/>
      </w:pPr>
      <w:r>
        <w:rPr>
          <w:sz w:val="22"/>
          <w:szCs w:val="22"/>
        </w:rPr>
        <w:t xml:space="preserve"/>
      </w:r>
    </w:p>
    <w:p>
      <w:pPr>
        <w:pStyle w:val="Heading1"/>
        <w:spacing w:after="160" w:before="320"/>
      </w:pPr>
      <w:r>
        <w:t xml:space="preserve">9. Known Confounds and Scope of Claims</w:t>
      </w:r>
    </w:p>
    <w:p>
      <w:pPr>
        <w:spacing w:after="160" w:line="300"/>
        <w:jc w:val="both"/>
      </w:pPr>
      <w:r>
        <w:rPr>
          <w:sz w:val="22"/>
          <w:szCs w:val="22"/>
        </w:rPr>
        <w:t xml:space="preserve">This registration binds the language of any resulting reports. A passing Tier 1 licenses the phrase ‘pipeline-independent invariant’ and nothing stronger: model families scored from overlapping historiographic corpora cannot establish corpus independence, which is reserved to Tier 4a. Ensemble averaging smooths bulk fluctuation statistics; the tail-focused design mitigates but does not eliminate this, and the limitation is reported wherever H1 results appear. Convergence across scorers or pipelines is never to be described as objectivity. The family taxonomy used in H3a and H4 is frozen in the appendix to prevent post-hoc family redefinition. Magnitude-level comparisons between named contemporary states remain prohibited in all framework outputs pending the Tier 2 result, in both directions: neither hostile nor flattering national caricature may enter as measurement.</w:t>
      </w:r>
    </w:p>
    <w:p>
      <w:pPr>
        <w:pStyle w:val="Heading1"/>
        <w:spacing w:after="160" w:before="320"/>
      </w:pPr>
      <w:r>
        <w:t xml:space="preserve">10. Deviations and Reporting Commitments</w:t>
      </w:r>
    </w:p>
    <w:p>
      <w:pPr>
        <w:pStyle w:val="ListParagraph"/>
        <w:numPr>
          <w:ilvl w:val="0"/>
          <w:numId w:val="2"/>
        </w:numPr>
        <w:spacing w:after="100" w:line="280"/>
      </w:pPr>
      <w:r>
        <w:rPr>
          <w:sz w:val="22"/>
          <w:szCs w:val="22"/>
        </w:rPr>
        <w:t xml:space="preserve">Any deviation from this document is recorded in a dated deviations log appended to the final report, with the analysis re-run under the registered procedure wherever possible; where not possible, the affected hypothesis is reported as exploratory.</w:t>
      </w:r>
    </w:p>
    <w:p>
      <w:pPr>
        <w:pStyle w:val="ListParagraph"/>
        <w:numPr>
          <w:ilvl w:val="0"/>
          <w:numId w:val="2"/>
        </w:numPr>
        <w:spacing w:after="100" w:line="280"/>
      </w:pPr>
      <w:r>
        <w:rPr>
          <w:sz w:val="22"/>
          <w:szCs w:val="22"/>
        </w:rPr>
        <w:t xml:space="preserve">Null, negative, and underpowered results are reported with prominence equal to positive results, continuing the framework’s standing practice (the refuted morphospace prediction; the rejected all-series universality test).</w:t>
      </w:r>
    </w:p>
    <w:p>
      <w:pPr>
        <w:pStyle w:val="ListParagraph"/>
        <w:numPr>
          <w:ilvl w:val="0"/>
          <w:numId w:val="2"/>
        </w:numPr>
        <w:spacing w:after="100" w:line="280"/>
      </w:pPr>
      <w:r>
        <w:rPr>
          <w:sz w:val="22"/>
          <w:szCs w:val="22"/>
        </w:rPr>
        <w:t xml:space="preserve">Analysis code for Sections 6.1–6.6 is written and frozen before Tier 1 data are generated, and is released with the report.</w:t>
      </w:r>
    </w:p>
    <w:p>
      <w:pPr>
        <w:pStyle w:val="ListParagraph"/>
        <w:numPr>
          <w:ilvl w:val="0"/>
          <w:numId w:val="2"/>
        </w:numPr>
        <w:spacing w:after="100" w:line="280"/>
      </w:pPr>
      <w:r>
        <w:rPr>
          <w:sz w:val="22"/>
          <w:szCs w:val="22"/>
        </w:rPr>
        <w:t xml:space="preserve">Society lists, scorer prompts, the frozen family taxonomy, the archival indicator mapping, and the forward-registry item criteria are appended to this document with timestamps before the relevant tier begins. Absence of a timestamped appendix voids confirmatory status for that tier.</w:t>
      </w:r>
    </w:p>
    <w:p>
      <w:pPr>
        <w:pStyle w:val="ListParagraph"/>
        <w:numPr>
          <w:ilvl w:val="0"/>
          <w:numId w:val="2"/>
        </w:numPr>
        <w:spacing w:after="100" w:line="280"/>
      </w:pPr>
      <w:r>
        <w:rPr>
          <w:sz w:val="22"/>
          <w:szCs w:val="22"/>
        </w:rPr>
        <w:t xml:space="preserve">The forward registry (Tier 4b) is scored on 1 July 2031 against public record, by an analyst who may consult this document but not amend it.</w:t>
      </w:r>
    </w:p>
    <w:p>
      <w:pPr>
        <w:spacing w:after="160" w:line="300"/>
        <w:jc w:val="both"/>
      </w:pPr>
      <w:r>
        <w:rPr>
          <w:sz w:val="22"/>
          <w:szCs w:val="22"/>
        </w:rPr>
        <w:t xml:space="preserve"/>
      </w:r>
    </w:p>
    <w:p>
      <w:pPr>
        <w:spacing w:before="200"/>
        <w:jc w:val="center"/>
      </w:pPr>
      <w:r>
        <w:rPr>
          <w:i/>
          <w:iCs/>
          <w:sz w:val="20"/>
          <w:szCs w:val="20"/>
        </w:rPr>
        <w:t xml:space="preserve">— End of registered protocol. Appendices (society lists, prompts, frozen taxonomy, indicator mapping, registry criteria) attach below this line with individual timestamps as each tier is initiated. —</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CAMS/JUNO Pre-Registration · 6 July 2026 · Page </w:t>
    </w:r>
    <w:r>
      <w:rPr>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lvl w:ilvl="1" w15:tentative="1">
      <w:start w:val="1"/>
      <w:numFmt w:val="bullet"/>
      <w:lvlText w:val="◦"/>
      <w:lvlJc w:val="left"/>
      <w:pPr>
        <w:ind w:left="72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rPr>
      <w:rFonts w:ascii="Calibri" w:cs="Calibri" w:eastAsia="Calibri" w:hAnsi="Calibri"/>
      <w:b/>
      <w:bCs/>
      <w:color w:val="1F3864"/>
      <w:sz w:val="28"/>
      <w:szCs w:val="28"/>
    </w:rPr>
  </w:style>
  <w:style w:type="paragraph" w:styleId="Heading2">
    <w:name w:val="Heading 2"/>
    <w:basedOn w:val="Normal"/>
    <w:next w:val="Normal"/>
    <w:qFormat/>
    <w:rPr>
      <w:rFonts w:ascii="Calibri" w:cs="Calibri" w:eastAsia="Calibri" w:hAnsi="Calibri"/>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2026-07-05T21:45:22.820Z</dcterms:created>
  <dcterms:modified xsi:type="dcterms:W3CDTF">2026-07-05T21:45:22.820Z</dcterms:modified>
</cp:coreProperties>
</file>

<file path=docProps/custom.xml><?xml version="1.0" encoding="utf-8"?>
<Properties xmlns="http://schemas.openxmlformats.org/officeDocument/2006/custom-properties" xmlns:vt="http://schemas.openxmlformats.org/officeDocument/2006/docPropsVTypes"/>
</file>